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4ABD5" w14:textId="0DD39A8B" w:rsidR="0081319F" w:rsidRPr="0081319F" w:rsidRDefault="0081319F" w:rsidP="0081319F">
      <w:pPr>
        <w:spacing w:after="0" w:line="240" w:lineRule="auto"/>
        <w:rPr>
          <w:rFonts w:ascii="Verdana" w:eastAsia="Times New Roman" w:hAnsi="Verdana" w:cs="Times New Roman"/>
          <w:b/>
          <w:bCs/>
          <w:color w:val="222222"/>
          <w:sz w:val="17"/>
          <w:szCs w:val="17"/>
          <w:u w:val="single"/>
          <w:lang w:eastAsia="nl-BE"/>
        </w:rPr>
      </w:pPr>
      <w:r w:rsidRPr="0081319F">
        <w:rPr>
          <w:rFonts w:ascii="Verdana" w:eastAsia="Times New Roman" w:hAnsi="Verdana" w:cs="Times New Roman"/>
          <w:b/>
          <w:bCs/>
          <w:color w:val="222222"/>
          <w:sz w:val="17"/>
          <w:szCs w:val="17"/>
          <w:u w:val="single"/>
          <w:lang w:eastAsia="nl-BE"/>
        </w:rPr>
        <w:t>Bijlage 1 bij de beslissing van de gemeenteraad van 21/12/2021 betreffende :</w:t>
      </w:r>
      <w:r>
        <w:rPr>
          <w:rFonts w:ascii="Verdana" w:eastAsia="Times New Roman" w:hAnsi="Verdana" w:cs="Times New Roman"/>
          <w:b/>
          <w:bCs/>
          <w:color w:val="222222"/>
          <w:sz w:val="17"/>
          <w:szCs w:val="17"/>
          <w:u w:val="single"/>
          <w:lang w:eastAsia="nl-BE"/>
        </w:rPr>
        <w:t xml:space="preserve"> het retributiereglement op de afgifte van huisvuilzakken voor restafval, PMD-zakken en GFT-zakken. Aanpassing. Goedkeuring.</w:t>
      </w:r>
    </w:p>
    <w:p w14:paraId="1A2631A1" w14:textId="67FEA960"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t>Artikel 1</w:t>
      </w:r>
      <w:r w:rsidRPr="000C545E">
        <w:rPr>
          <w:rFonts w:ascii="Verdana" w:eastAsia="Times New Roman" w:hAnsi="Verdana" w:cs="Times New Roman"/>
          <w:color w:val="000000"/>
          <w:sz w:val="17"/>
          <w:szCs w:val="17"/>
          <w:lang w:eastAsia="nl-BE"/>
        </w:rPr>
        <w:t>: Er wordt een retributie gevestigd op de volgende inzamelende fracties van huishoudelijk (en vergelijkbare bedrijfsmatige) oorsprong via de haalmethode (huis-aan-huisinzameling):</w:t>
      </w:r>
    </w:p>
    <w:p w14:paraId="464ABC17" w14:textId="77777777" w:rsidR="000C545E" w:rsidRPr="000C545E" w:rsidRDefault="000C545E" w:rsidP="000C545E">
      <w:pPr>
        <w:numPr>
          <w:ilvl w:val="0"/>
          <w:numId w:val="1"/>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van huisvuil (en de vergelijkbare fractie van het vergelijkbaar bedrijfsafval);</w:t>
      </w:r>
    </w:p>
    <w:p w14:paraId="3C1E8696" w14:textId="77777777" w:rsidR="000C545E" w:rsidRPr="000C545E" w:rsidRDefault="000C545E" w:rsidP="000C545E">
      <w:pPr>
        <w:numPr>
          <w:ilvl w:val="0"/>
          <w:numId w:val="1"/>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van GFT (en organisch-biologisch vergelijkbaar bedrijfsafval);</w:t>
      </w:r>
    </w:p>
    <w:p w14:paraId="7A1E0639" w14:textId="77777777" w:rsidR="000C545E" w:rsidRPr="000C545E" w:rsidRDefault="000C545E" w:rsidP="000C545E">
      <w:pPr>
        <w:numPr>
          <w:ilvl w:val="0"/>
          <w:numId w:val="1"/>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van PMD-afval;</w:t>
      </w:r>
    </w:p>
    <w:p w14:paraId="2BD5A514" w14:textId="20D91D80"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t>Artikel 2</w:t>
      </w:r>
      <w:r w:rsidRPr="000C545E">
        <w:rPr>
          <w:rFonts w:ascii="Verdana" w:eastAsia="Times New Roman" w:hAnsi="Verdana" w:cs="Times New Roman"/>
          <w:color w:val="000000"/>
          <w:sz w:val="17"/>
          <w:szCs w:val="17"/>
          <w:lang w:eastAsia="nl-BE"/>
        </w:rPr>
        <w:t>: De hieronder vermelde retributie is verschuldigd door eenieder die gebruik maakt van de intergemeentelijke dienstverlening inzake de huis-aan-huisinzameling van volgende fracties:</w:t>
      </w:r>
    </w:p>
    <w:tbl>
      <w:tblPr>
        <w:tblW w:w="0" w:type="auto"/>
        <w:tblCellSpacing w:w="0" w:type="dxa"/>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3015"/>
        <w:gridCol w:w="3015"/>
        <w:gridCol w:w="3015"/>
      </w:tblGrid>
      <w:tr w:rsidR="000C545E" w:rsidRPr="000C545E" w14:paraId="7D945984" w14:textId="77777777" w:rsidTr="000C545E">
        <w:trPr>
          <w:tblCellSpacing w:w="0" w:type="dxa"/>
        </w:trPr>
        <w:tc>
          <w:tcPr>
            <w:tcW w:w="3015" w:type="dxa"/>
            <w:tcBorders>
              <w:top w:val="dashed" w:sz="6" w:space="0" w:color="BBBBBB"/>
              <w:left w:val="dashed" w:sz="6" w:space="0" w:color="BBBBBB"/>
              <w:bottom w:val="dashed" w:sz="6" w:space="0" w:color="BBBBBB"/>
              <w:right w:val="dashed" w:sz="6" w:space="0" w:color="BBBBBB"/>
            </w:tcBorders>
            <w:hideMark/>
          </w:tcPr>
          <w:p w14:paraId="3E2AB99F"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Fractie</w:t>
            </w:r>
          </w:p>
        </w:tc>
        <w:tc>
          <w:tcPr>
            <w:tcW w:w="3015" w:type="dxa"/>
            <w:tcBorders>
              <w:top w:val="dashed" w:sz="6" w:space="0" w:color="BBBBBB"/>
              <w:left w:val="dashed" w:sz="6" w:space="0" w:color="BBBBBB"/>
              <w:bottom w:val="dashed" w:sz="6" w:space="0" w:color="BBBBBB"/>
              <w:right w:val="dashed" w:sz="6" w:space="0" w:color="BBBBBB"/>
            </w:tcBorders>
            <w:hideMark/>
          </w:tcPr>
          <w:p w14:paraId="081FDBF0"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Volume</w:t>
            </w:r>
          </w:p>
        </w:tc>
        <w:tc>
          <w:tcPr>
            <w:tcW w:w="3015" w:type="dxa"/>
            <w:tcBorders>
              <w:top w:val="dashed" w:sz="6" w:space="0" w:color="BBBBBB"/>
              <w:left w:val="dashed" w:sz="6" w:space="0" w:color="BBBBBB"/>
              <w:bottom w:val="dashed" w:sz="6" w:space="0" w:color="BBBBBB"/>
              <w:right w:val="dashed" w:sz="6" w:space="0" w:color="BBBBBB"/>
            </w:tcBorders>
            <w:hideMark/>
          </w:tcPr>
          <w:p w14:paraId="49452B20"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Retributie/zak</w:t>
            </w:r>
          </w:p>
        </w:tc>
      </w:tr>
      <w:tr w:rsidR="000C545E" w:rsidRPr="000C545E" w14:paraId="751EE56D" w14:textId="77777777" w:rsidTr="000C545E">
        <w:trPr>
          <w:tblCellSpacing w:w="0" w:type="dxa"/>
        </w:trPr>
        <w:tc>
          <w:tcPr>
            <w:tcW w:w="3015" w:type="dxa"/>
            <w:vMerge w:val="restart"/>
            <w:tcBorders>
              <w:top w:val="dashed" w:sz="6" w:space="0" w:color="BBBBBB"/>
              <w:left w:val="dashed" w:sz="6" w:space="0" w:color="BBBBBB"/>
              <w:bottom w:val="dashed" w:sz="6" w:space="0" w:color="BBBBBB"/>
              <w:right w:val="dashed" w:sz="6" w:space="0" w:color="BBBBBB"/>
            </w:tcBorders>
            <w:hideMark/>
          </w:tcPr>
          <w:p w14:paraId="3F3B1690"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Huisvuil</w:t>
            </w:r>
          </w:p>
        </w:tc>
        <w:tc>
          <w:tcPr>
            <w:tcW w:w="3015" w:type="dxa"/>
            <w:tcBorders>
              <w:top w:val="dashed" w:sz="6" w:space="0" w:color="BBBBBB"/>
              <w:left w:val="dashed" w:sz="6" w:space="0" w:color="BBBBBB"/>
              <w:bottom w:val="dashed" w:sz="6" w:space="0" w:color="BBBBBB"/>
              <w:right w:val="dashed" w:sz="6" w:space="0" w:color="BBBBBB"/>
            </w:tcBorders>
            <w:hideMark/>
          </w:tcPr>
          <w:p w14:paraId="58DD64A8"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60l</w:t>
            </w:r>
          </w:p>
        </w:tc>
        <w:tc>
          <w:tcPr>
            <w:tcW w:w="3015" w:type="dxa"/>
            <w:tcBorders>
              <w:top w:val="dashed" w:sz="6" w:space="0" w:color="BBBBBB"/>
              <w:left w:val="dashed" w:sz="6" w:space="0" w:color="BBBBBB"/>
              <w:bottom w:val="dashed" w:sz="6" w:space="0" w:color="BBBBBB"/>
              <w:right w:val="dashed" w:sz="6" w:space="0" w:color="BBBBBB"/>
            </w:tcBorders>
            <w:hideMark/>
          </w:tcPr>
          <w:p w14:paraId="406B72C6"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€ 2,00</w:t>
            </w:r>
          </w:p>
        </w:tc>
      </w:tr>
      <w:tr w:rsidR="000C545E" w:rsidRPr="000C545E" w14:paraId="717A38C1" w14:textId="77777777" w:rsidTr="000C545E">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3D547C16" w14:textId="77777777" w:rsidR="000C545E" w:rsidRPr="000C545E" w:rsidRDefault="000C545E" w:rsidP="000C545E">
            <w:pPr>
              <w:spacing w:after="0" w:line="240" w:lineRule="auto"/>
              <w:rPr>
                <w:rFonts w:ascii="Verdana" w:eastAsia="Times New Roman" w:hAnsi="Verdana" w:cs="Times New Roman"/>
                <w:color w:val="000000"/>
                <w:sz w:val="17"/>
                <w:szCs w:val="17"/>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6D292AA3"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30l</w:t>
            </w:r>
          </w:p>
        </w:tc>
        <w:tc>
          <w:tcPr>
            <w:tcW w:w="3015" w:type="dxa"/>
            <w:tcBorders>
              <w:top w:val="dashed" w:sz="6" w:space="0" w:color="BBBBBB"/>
              <w:left w:val="dashed" w:sz="6" w:space="0" w:color="BBBBBB"/>
              <w:bottom w:val="dashed" w:sz="6" w:space="0" w:color="BBBBBB"/>
              <w:right w:val="dashed" w:sz="6" w:space="0" w:color="BBBBBB"/>
            </w:tcBorders>
            <w:hideMark/>
          </w:tcPr>
          <w:p w14:paraId="5F559677"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€ 1,00</w:t>
            </w:r>
          </w:p>
        </w:tc>
      </w:tr>
      <w:tr w:rsidR="000C545E" w:rsidRPr="000C545E" w14:paraId="2F08499C" w14:textId="77777777" w:rsidTr="000C545E">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78E04908" w14:textId="77777777" w:rsidR="000C545E" w:rsidRPr="000C545E" w:rsidRDefault="000C545E" w:rsidP="000C545E">
            <w:pPr>
              <w:spacing w:after="0" w:line="240" w:lineRule="auto"/>
              <w:rPr>
                <w:rFonts w:ascii="Verdana" w:eastAsia="Times New Roman" w:hAnsi="Verdana" w:cs="Times New Roman"/>
                <w:color w:val="000000"/>
                <w:sz w:val="17"/>
                <w:szCs w:val="17"/>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4F5EC119"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15l</w:t>
            </w:r>
          </w:p>
        </w:tc>
        <w:tc>
          <w:tcPr>
            <w:tcW w:w="3015" w:type="dxa"/>
            <w:tcBorders>
              <w:top w:val="dashed" w:sz="6" w:space="0" w:color="BBBBBB"/>
              <w:left w:val="dashed" w:sz="6" w:space="0" w:color="BBBBBB"/>
              <w:bottom w:val="dashed" w:sz="6" w:space="0" w:color="BBBBBB"/>
              <w:right w:val="dashed" w:sz="6" w:space="0" w:color="BBBBBB"/>
            </w:tcBorders>
            <w:hideMark/>
          </w:tcPr>
          <w:p w14:paraId="0122CC67"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€ 0,50</w:t>
            </w:r>
          </w:p>
        </w:tc>
      </w:tr>
      <w:tr w:rsidR="000C545E" w:rsidRPr="000C545E" w14:paraId="3D5906B3" w14:textId="77777777" w:rsidTr="000C545E">
        <w:trPr>
          <w:tblCellSpacing w:w="0" w:type="dxa"/>
        </w:trPr>
        <w:tc>
          <w:tcPr>
            <w:tcW w:w="3015" w:type="dxa"/>
            <w:vMerge w:val="restart"/>
            <w:tcBorders>
              <w:top w:val="dashed" w:sz="6" w:space="0" w:color="BBBBBB"/>
              <w:left w:val="dashed" w:sz="6" w:space="0" w:color="BBBBBB"/>
              <w:bottom w:val="dashed" w:sz="6" w:space="0" w:color="BBBBBB"/>
              <w:right w:val="dashed" w:sz="6" w:space="0" w:color="BBBBBB"/>
            </w:tcBorders>
            <w:hideMark/>
          </w:tcPr>
          <w:p w14:paraId="6BFCB65E"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w:t>
            </w:r>
          </w:p>
          <w:p w14:paraId="58ED318A"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GFT</w:t>
            </w:r>
          </w:p>
        </w:tc>
        <w:tc>
          <w:tcPr>
            <w:tcW w:w="3015" w:type="dxa"/>
            <w:tcBorders>
              <w:top w:val="dashed" w:sz="6" w:space="0" w:color="BBBBBB"/>
              <w:left w:val="dashed" w:sz="6" w:space="0" w:color="BBBBBB"/>
              <w:bottom w:val="dashed" w:sz="6" w:space="0" w:color="BBBBBB"/>
              <w:right w:val="dashed" w:sz="6" w:space="0" w:color="BBBBBB"/>
            </w:tcBorders>
            <w:hideMark/>
          </w:tcPr>
          <w:p w14:paraId="1E926742"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60l</w:t>
            </w:r>
          </w:p>
        </w:tc>
        <w:tc>
          <w:tcPr>
            <w:tcW w:w="3015" w:type="dxa"/>
            <w:tcBorders>
              <w:top w:val="dashed" w:sz="6" w:space="0" w:color="BBBBBB"/>
              <w:left w:val="dashed" w:sz="6" w:space="0" w:color="BBBBBB"/>
              <w:bottom w:val="dashed" w:sz="6" w:space="0" w:color="BBBBBB"/>
              <w:right w:val="dashed" w:sz="6" w:space="0" w:color="BBBBBB"/>
            </w:tcBorders>
            <w:hideMark/>
          </w:tcPr>
          <w:p w14:paraId="71900692"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€ 1,00</w:t>
            </w:r>
          </w:p>
        </w:tc>
      </w:tr>
      <w:tr w:rsidR="000C545E" w:rsidRPr="000C545E" w14:paraId="71981A73" w14:textId="77777777" w:rsidTr="000C545E">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1B62DE04" w14:textId="77777777" w:rsidR="000C545E" w:rsidRPr="000C545E" w:rsidRDefault="000C545E" w:rsidP="000C545E">
            <w:pPr>
              <w:spacing w:after="0" w:line="240" w:lineRule="auto"/>
              <w:rPr>
                <w:rFonts w:ascii="Verdana" w:eastAsia="Times New Roman" w:hAnsi="Verdana" w:cs="Times New Roman"/>
                <w:color w:val="000000"/>
                <w:sz w:val="17"/>
                <w:szCs w:val="17"/>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3AEC02E4"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30l</w:t>
            </w:r>
          </w:p>
        </w:tc>
        <w:tc>
          <w:tcPr>
            <w:tcW w:w="3015" w:type="dxa"/>
            <w:tcBorders>
              <w:top w:val="dashed" w:sz="6" w:space="0" w:color="BBBBBB"/>
              <w:left w:val="dashed" w:sz="6" w:space="0" w:color="BBBBBB"/>
              <w:bottom w:val="dashed" w:sz="6" w:space="0" w:color="BBBBBB"/>
              <w:right w:val="dashed" w:sz="6" w:space="0" w:color="BBBBBB"/>
            </w:tcBorders>
            <w:hideMark/>
          </w:tcPr>
          <w:p w14:paraId="0B37AA97"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€ 0,50</w:t>
            </w:r>
          </w:p>
        </w:tc>
      </w:tr>
      <w:tr w:rsidR="000C545E" w:rsidRPr="000C545E" w14:paraId="56724C26" w14:textId="77777777" w:rsidTr="000C545E">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733BA56F" w14:textId="77777777" w:rsidR="000C545E" w:rsidRPr="000C545E" w:rsidRDefault="000C545E" w:rsidP="000C545E">
            <w:pPr>
              <w:spacing w:after="0" w:line="240" w:lineRule="auto"/>
              <w:rPr>
                <w:rFonts w:ascii="Verdana" w:eastAsia="Times New Roman" w:hAnsi="Verdana" w:cs="Times New Roman"/>
                <w:color w:val="000000"/>
                <w:sz w:val="17"/>
                <w:szCs w:val="17"/>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524696AC"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15l</w:t>
            </w:r>
          </w:p>
        </w:tc>
        <w:tc>
          <w:tcPr>
            <w:tcW w:w="3015" w:type="dxa"/>
            <w:tcBorders>
              <w:top w:val="dashed" w:sz="6" w:space="0" w:color="BBBBBB"/>
              <w:left w:val="dashed" w:sz="6" w:space="0" w:color="BBBBBB"/>
              <w:bottom w:val="dashed" w:sz="6" w:space="0" w:color="BBBBBB"/>
              <w:right w:val="dashed" w:sz="6" w:space="0" w:color="BBBBBB"/>
            </w:tcBorders>
            <w:hideMark/>
          </w:tcPr>
          <w:p w14:paraId="790F2E5B" w14:textId="77777777" w:rsidR="000C545E" w:rsidRPr="000C545E" w:rsidRDefault="000C545E"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€ 0,25</w:t>
            </w:r>
          </w:p>
        </w:tc>
      </w:tr>
      <w:tr w:rsidR="00103C22" w:rsidRPr="000C545E" w14:paraId="3F8BA991" w14:textId="77777777" w:rsidTr="001C2C39">
        <w:trPr>
          <w:tblCellSpacing w:w="0" w:type="dxa"/>
        </w:trPr>
        <w:tc>
          <w:tcPr>
            <w:tcW w:w="3015" w:type="dxa"/>
            <w:vMerge w:val="restart"/>
            <w:tcBorders>
              <w:top w:val="dashed" w:sz="6" w:space="0" w:color="BBBBBB"/>
              <w:left w:val="dashed" w:sz="6" w:space="0" w:color="BBBBBB"/>
              <w:right w:val="dashed" w:sz="6" w:space="0" w:color="BBBBBB"/>
            </w:tcBorders>
            <w:hideMark/>
          </w:tcPr>
          <w:p w14:paraId="79E027A4" w14:textId="77777777" w:rsidR="00103C22" w:rsidRPr="000C545E" w:rsidRDefault="00103C22"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PMD</w:t>
            </w:r>
          </w:p>
        </w:tc>
        <w:tc>
          <w:tcPr>
            <w:tcW w:w="3015" w:type="dxa"/>
            <w:tcBorders>
              <w:top w:val="dashed" w:sz="6" w:space="0" w:color="BBBBBB"/>
              <w:left w:val="dashed" w:sz="6" w:space="0" w:color="BBBBBB"/>
              <w:bottom w:val="dashed" w:sz="6" w:space="0" w:color="BBBBBB"/>
              <w:right w:val="dashed" w:sz="6" w:space="0" w:color="BBBBBB"/>
            </w:tcBorders>
            <w:hideMark/>
          </w:tcPr>
          <w:p w14:paraId="275DB69D" w14:textId="77777777" w:rsidR="00103C22" w:rsidRPr="000C545E" w:rsidRDefault="00103C22"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60l</w:t>
            </w:r>
          </w:p>
        </w:tc>
        <w:tc>
          <w:tcPr>
            <w:tcW w:w="3015" w:type="dxa"/>
            <w:tcBorders>
              <w:top w:val="dashed" w:sz="6" w:space="0" w:color="BBBBBB"/>
              <w:left w:val="dashed" w:sz="6" w:space="0" w:color="BBBBBB"/>
              <w:bottom w:val="dashed" w:sz="6" w:space="0" w:color="BBBBBB"/>
              <w:right w:val="dashed" w:sz="6" w:space="0" w:color="BBBBBB"/>
            </w:tcBorders>
            <w:hideMark/>
          </w:tcPr>
          <w:p w14:paraId="51337E93" w14:textId="77777777" w:rsidR="00103C22" w:rsidRPr="000C545E" w:rsidRDefault="00103C22"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€ 0,15</w:t>
            </w:r>
          </w:p>
        </w:tc>
      </w:tr>
      <w:tr w:rsidR="00103C22" w:rsidRPr="000C545E" w14:paraId="65FC6941" w14:textId="77777777" w:rsidTr="001C2C39">
        <w:trPr>
          <w:tblCellSpacing w:w="0" w:type="dxa"/>
        </w:trPr>
        <w:tc>
          <w:tcPr>
            <w:tcW w:w="3015" w:type="dxa"/>
            <w:vMerge/>
            <w:tcBorders>
              <w:left w:val="dashed" w:sz="6" w:space="0" w:color="BBBBBB"/>
              <w:bottom w:val="dashed" w:sz="6" w:space="0" w:color="BBBBBB"/>
              <w:right w:val="dashed" w:sz="6" w:space="0" w:color="BBBBBB"/>
            </w:tcBorders>
          </w:tcPr>
          <w:p w14:paraId="22DE0515" w14:textId="77777777" w:rsidR="00103C22" w:rsidRPr="000C545E" w:rsidRDefault="00103C22"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p>
        </w:tc>
        <w:tc>
          <w:tcPr>
            <w:tcW w:w="3015" w:type="dxa"/>
            <w:tcBorders>
              <w:top w:val="dashed" w:sz="6" w:space="0" w:color="BBBBBB"/>
              <w:left w:val="dashed" w:sz="6" w:space="0" w:color="BBBBBB"/>
              <w:bottom w:val="dashed" w:sz="6" w:space="0" w:color="BBBBBB"/>
              <w:right w:val="dashed" w:sz="6" w:space="0" w:color="BBBBBB"/>
            </w:tcBorders>
          </w:tcPr>
          <w:p w14:paraId="3A75BFE9" w14:textId="1FF1990B" w:rsidR="00103C22" w:rsidRPr="000C545E" w:rsidRDefault="00103C22"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Pr>
                <w:rFonts w:ascii="Verdana" w:eastAsia="Times New Roman" w:hAnsi="Verdana" w:cs="Times New Roman"/>
                <w:color w:val="000000"/>
                <w:sz w:val="17"/>
                <w:szCs w:val="17"/>
                <w:lang w:eastAsia="nl-BE"/>
              </w:rPr>
              <w:t>100l</w:t>
            </w:r>
          </w:p>
        </w:tc>
        <w:tc>
          <w:tcPr>
            <w:tcW w:w="3015" w:type="dxa"/>
            <w:tcBorders>
              <w:top w:val="dashed" w:sz="6" w:space="0" w:color="BBBBBB"/>
              <w:left w:val="dashed" w:sz="6" w:space="0" w:color="BBBBBB"/>
              <w:bottom w:val="dashed" w:sz="6" w:space="0" w:color="BBBBBB"/>
              <w:right w:val="dashed" w:sz="6" w:space="0" w:color="BBBBBB"/>
            </w:tcBorders>
          </w:tcPr>
          <w:p w14:paraId="525019D9" w14:textId="14ECD149" w:rsidR="00103C22" w:rsidRPr="000C545E" w:rsidRDefault="00103C22" w:rsidP="000C545E">
            <w:pPr>
              <w:spacing w:before="100" w:beforeAutospacing="1" w:after="100" w:afterAutospacing="1" w:line="240" w:lineRule="auto"/>
              <w:ind w:left="120" w:right="120"/>
              <w:rPr>
                <w:rFonts w:ascii="Verdana" w:eastAsia="Times New Roman" w:hAnsi="Verdana" w:cs="Times New Roman"/>
                <w:color w:val="000000"/>
                <w:sz w:val="17"/>
                <w:szCs w:val="17"/>
                <w:lang w:eastAsia="nl-BE"/>
              </w:rPr>
            </w:pPr>
            <w:r>
              <w:rPr>
                <w:rFonts w:ascii="Verdana" w:eastAsia="Times New Roman" w:hAnsi="Verdana" w:cs="Times New Roman"/>
                <w:color w:val="000000"/>
                <w:sz w:val="17"/>
                <w:szCs w:val="17"/>
                <w:lang w:eastAsia="nl-BE"/>
              </w:rPr>
              <w:t>€ 0.25</w:t>
            </w:r>
          </w:p>
        </w:tc>
      </w:tr>
    </w:tbl>
    <w:p w14:paraId="2CBC752A" w14:textId="63A089F3"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br/>
        <w:t>Artikel 3</w:t>
      </w:r>
      <w:r w:rsidRPr="000C545E">
        <w:rPr>
          <w:rFonts w:ascii="Verdana" w:eastAsia="Times New Roman" w:hAnsi="Verdana" w:cs="Times New Roman"/>
          <w:color w:val="000000"/>
          <w:sz w:val="17"/>
          <w:szCs w:val="17"/>
          <w:lang w:eastAsia="nl-BE"/>
        </w:rPr>
        <w:t>: De personen die gebruik maken van door de gemeente voorgeschreven zakken zijn de retributie verschuldigd bij de aankoop ervan op de door Intradura vastgestelde verkoopplaats(en).</w:t>
      </w:r>
    </w:p>
    <w:p w14:paraId="55DBDEC1" w14:textId="6A2A5DB0"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t>Artikel 4</w:t>
      </w:r>
      <w:r w:rsidRPr="000C545E">
        <w:rPr>
          <w:rFonts w:ascii="Verdana" w:eastAsia="Times New Roman" w:hAnsi="Verdana" w:cs="Times New Roman"/>
          <w:color w:val="000000"/>
          <w:sz w:val="17"/>
          <w:szCs w:val="17"/>
          <w:lang w:eastAsia="nl-BE"/>
        </w:rPr>
        <w:t>: De belastingplichtige of zijn vertegenwoordiger kan een bezwaar op afgiftebewijs indienen tegen deze retributie bij het college van burgemeester en schepenen.</w:t>
      </w:r>
    </w:p>
    <w:p w14:paraId="6EFD6B80" w14:textId="77777777"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Het bezwaar moet schriftelijk worden ingediend, ondertekend en gemotiveerd zijn en op straffe van verval worden ingediend binnen een termijn van drie maanden te rekenen vanaf de datum van de contante inning. Van het bezwaarschrift wordt een ontvangstmelding gestuurd, binnen vijftien kalenderdagen na indiening ervan.</w:t>
      </w:r>
    </w:p>
    <w:p w14:paraId="4CE6F81C" w14:textId="51D4A68E"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t>Artikel 5</w:t>
      </w:r>
      <w:r w:rsidRPr="000C545E">
        <w:rPr>
          <w:rFonts w:ascii="Verdana" w:eastAsia="Times New Roman" w:hAnsi="Verdana" w:cs="Times New Roman"/>
          <w:color w:val="000000"/>
          <w:sz w:val="17"/>
          <w:szCs w:val="17"/>
          <w:lang w:eastAsia="nl-BE"/>
        </w:rPr>
        <w:t>: In de volgende gevallen worden gratis rollen huisvuilzakken ter beschikking gesteld:</w:t>
      </w:r>
    </w:p>
    <w:p w14:paraId="53C91626" w14:textId="2134E880" w:rsidR="000C545E" w:rsidRPr="000C545E" w:rsidRDefault="000C545E" w:rsidP="000C545E">
      <w:pPr>
        <w:numPr>
          <w:ilvl w:val="0"/>
          <w:numId w:val="2"/>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Grote huisvuilzakken met een inhoud van 60l (PMD, rest</w:t>
      </w:r>
      <w:r w:rsidR="003600DF">
        <w:rPr>
          <w:rFonts w:ascii="Verdana" w:eastAsia="Times New Roman" w:hAnsi="Verdana" w:cs="Times New Roman"/>
          <w:color w:val="000000"/>
          <w:sz w:val="17"/>
          <w:szCs w:val="17"/>
          <w:lang w:eastAsia="nl-BE"/>
        </w:rPr>
        <w:t>afval</w:t>
      </w:r>
      <w:r w:rsidRPr="000C545E">
        <w:rPr>
          <w:rFonts w:ascii="Verdana" w:eastAsia="Times New Roman" w:hAnsi="Verdana" w:cs="Times New Roman"/>
          <w:color w:val="000000"/>
          <w:sz w:val="17"/>
          <w:szCs w:val="17"/>
          <w:lang w:eastAsia="nl-BE"/>
        </w:rPr>
        <w:t>, GFT-afval) worden gratis ter beschikking gesteld van de scholen gelegen op het grondgebied van de gemeente Pepingen, de gemeentelijke kinderopvang Pinokkio en het OCMW van Pepingen.</w:t>
      </w:r>
    </w:p>
    <w:p w14:paraId="646390AF" w14:textId="7531447A" w:rsidR="000C545E" w:rsidRPr="000C545E" w:rsidRDefault="000C545E" w:rsidP="000C545E">
      <w:pPr>
        <w:numPr>
          <w:ilvl w:val="0"/>
          <w:numId w:val="2"/>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Zelfstandige onthaalouders, werkzaam op het grondgebied van de gemeente Pepingen, hebben jaarlijks recht op één gratis rol grote</w:t>
      </w:r>
      <w:r w:rsidR="0081319F">
        <w:rPr>
          <w:rFonts w:ascii="Verdana" w:eastAsia="Times New Roman" w:hAnsi="Verdana" w:cs="Times New Roman"/>
          <w:color w:val="000000"/>
          <w:sz w:val="17"/>
          <w:szCs w:val="17"/>
          <w:lang w:eastAsia="nl-BE"/>
        </w:rPr>
        <w:t xml:space="preserve"> (60L) en één gratis rol kleine (30L)</w:t>
      </w:r>
      <w:r w:rsidRPr="000C545E">
        <w:rPr>
          <w:rFonts w:ascii="Verdana" w:eastAsia="Times New Roman" w:hAnsi="Verdana" w:cs="Times New Roman"/>
          <w:color w:val="000000"/>
          <w:sz w:val="17"/>
          <w:szCs w:val="17"/>
          <w:lang w:eastAsia="nl-BE"/>
        </w:rPr>
        <w:t xml:space="preserve"> huisvuilzakken voor restafval</w:t>
      </w:r>
      <w:r w:rsidR="0081319F">
        <w:rPr>
          <w:rFonts w:ascii="Verdana" w:eastAsia="Times New Roman" w:hAnsi="Verdana" w:cs="Times New Roman"/>
          <w:color w:val="000000"/>
          <w:sz w:val="17"/>
          <w:szCs w:val="17"/>
          <w:lang w:eastAsia="nl-BE"/>
        </w:rPr>
        <w:t>.</w:t>
      </w:r>
    </w:p>
    <w:p w14:paraId="5AB28475" w14:textId="17D31EBC" w:rsidR="000C545E" w:rsidRPr="000C545E" w:rsidRDefault="000C545E" w:rsidP="000C545E">
      <w:pPr>
        <w:numPr>
          <w:ilvl w:val="0"/>
          <w:numId w:val="2"/>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Stomapatiënten, thuisnierdialysepatiënten en personen met incontinentie die thuis verblijven hebben jaarlijks recht op één gratis rol grote huisvuilzakken voor restafval (60l)</w:t>
      </w:r>
      <w:r w:rsidR="0081319F">
        <w:rPr>
          <w:rFonts w:ascii="Verdana" w:eastAsia="Times New Roman" w:hAnsi="Verdana" w:cs="Times New Roman"/>
          <w:color w:val="000000"/>
          <w:sz w:val="17"/>
          <w:szCs w:val="17"/>
          <w:lang w:eastAsia="nl-BE"/>
        </w:rPr>
        <w:t xml:space="preserve"> en één gratis kleine rol huisvuilzakken voor restafval (30L)</w:t>
      </w:r>
      <w:r w:rsidRPr="000C545E">
        <w:rPr>
          <w:rFonts w:ascii="Verdana" w:eastAsia="Times New Roman" w:hAnsi="Verdana" w:cs="Times New Roman"/>
          <w:color w:val="000000"/>
          <w:sz w:val="17"/>
          <w:szCs w:val="17"/>
          <w:lang w:eastAsia="nl-BE"/>
        </w:rPr>
        <w:t>, mits aan volgende voorwaarden wordt voldaan:</w:t>
      </w:r>
    </w:p>
    <w:p w14:paraId="0D905226" w14:textId="77777777" w:rsidR="000C545E" w:rsidRPr="000C545E" w:rsidRDefault="000C545E" w:rsidP="000C545E">
      <w:pPr>
        <w:numPr>
          <w:ilvl w:val="0"/>
          <w:numId w:val="3"/>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Gedomicilieerd zijn te Pepingen;</w:t>
      </w:r>
    </w:p>
    <w:p w14:paraId="74AC46E1" w14:textId="77777777" w:rsidR="000C545E" w:rsidRPr="000C545E" w:rsidRDefault="000C545E" w:rsidP="000C545E">
      <w:pPr>
        <w:numPr>
          <w:ilvl w:val="0"/>
          <w:numId w:val="3"/>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Niet verblijven in een woon- en zorgcentrum;</w:t>
      </w:r>
    </w:p>
    <w:p w14:paraId="10282618" w14:textId="77777777" w:rsidR="000C545E" w:rsidRPr="000C545E" w:rsidRDefault="000C545E" w:rsidP="000C545E">
      <w:pPr>
        <w:numPr>
          <w:ilvl w:val="0"/>
          <w:numId w:val="3"/>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Leven met chronische incontinentie, een stoma of thuis aan dialyse doen;</w:t>
      </w:r>
    </w:p>
    <w:p w14:paraId="6F4A2009" w14:textId="77777777" w:rsidR="000C545E" w:rsidRPr="000C545E" w:rsidRDefault="000C545E" w:rsidP="000C545E">
      <w:pPr>
        <w:numPr>
          <w:ilvl w:val="0"/>
          <w:numId w:val="3"/>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Voorleggen van een medisch attest van de behandelende arts waaruit blijkt dat de rechthebbende een score 3 of 4 heeft voor het criterium 'incontinentie' op de KATZ-schaal OF een forfait voor onbehandelbare incontinentie type B of C van de thuisverpleging/mutualiteit;</w:t>
      </w:r>
    </w:p>
    <w:p w14:paraId="09BBF7C1" w14:textId="77777777" w:rsidR="000C545E" w:rsidRPr="000C545E" w:rsidRDefault="000C545E" w:rsidP="000C545E">
      <w:pPr>
        <w:numPr>
          <w:ilvl w:val="0"/>
          <w:numId w:val="3"/>
        </w:num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Een verklaring op eer dat de rechthebbende thuis verblijft. </w:t>
      </w:r>
    </w:p>
    <w:p w14:paraId="0B1C4B9B" w14:textId="194EDF2D" w:rsidR="000C545E" w:rsidRDefault="000C545E" w:rsidP="000C545E">
      <w:pPr>
        <w:spacing w:before="100" w:beforeAutospacing="1" w:after="100" w:afterAutospacing="1" w:line="240" w:lineRule="auto"/>
        <w:ind w:left="708"/>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De hierboven vermelde gratis ter beschikking gestelde rollen huisvuilzakken dienen door de rechthebbende of gemachtigde zelf afgehaald te worden bij de milieudienst van de gemeente Pepingen.</w:t>
      </w:r>
    </w:p>
    <w:p w14:paraId="39F786E4" w14:textId="77777777" w:rsidR="0081319F" w:rsidRPr="000C545E" w:rsidRDefault="0081319F" w:rsidP="003600DF">
      <w:pPr>
        <w:spacing w:before="100" w:beforeAutospacing="1" w:after="100" w:afterAutospacing="1" w:line="240" w:lineRule="auto"/>
        <w:rPr>
          <w:rFonts w:ascii="Verdana" w:eastAsia="Times New Roman" w:hAnsi="Verdana" w:cs="Times New Roman"/>
          <w:color w:val="000000"/>
          <w:sz w:val="17"/>
          <w:szCs w:val="17"/>
          <w:lang w:eastAsia="nl-BE"/>
        </w:rPr>
      </w:pPr>
    </w:p>
    <w:p w14:paraId="1E687960" w14:textId="71E9E8BC" w:rsidR="0081319F" w:rsidRPr="003600DF" w:rsidRDefault="000C545E" w:rsidP="003600DF">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t>Artikel 6</w:t>
      </w:r>
      <w:r w:rsidRPr="000C545E">
        <w:rPr>
          <w:rFonts w:ascii="Verdana" w:eastAsia="Times New Roman" w:hAnsi="Verdana" w:cs="Times New Roman"/>
          <w:color w:val="000000"/>
          <w:sz w:val="17"/>
          <w:szCs w:val="17"/>
          <w:lang w:eastAsia="nl-BE"/>
        </w:rPr>
        <w:t>:</w:t>
      </w:r>
      <w:r w:rsidR="003600DF">
        <w:rPr>
          <w:rFonts w:ascii="Verdana" w:eastAsia="Times New Roman" w:hAnsi="Verdana" w:cs="Times New Roman"/>
          <w:color w:val="000000"/>
          <w:sz w:val="17"/>
          <w:szCs w:val="17"/>
          <w:lang w:eastAsia="nl-BE"/>
        </w:rPr>
        <w:t xml:space="preserve"> </w:t>
      </w:r>
      <w:r w:rsidRPr="003600DF">
        <w:rPr>
          <w:rFonts w:ascii="Verdana" w:eastAsia="Times New Roman" w:hAnsi="Verdana" w:cs="Times New Roman"/>
          <w:color w:val="000000"/>
          <w:sz w:val="17"/>
          <w:szCs w:val="17"/>
          <w:lang w:eastAsia="nl-BE"/>
        </w:rPr>
        <w:t>De gemeenteraadsbeslissing van 22-12-2020 betreffende het retributiereglement op de afgifte van huisvuilzakken voor restafval, PMD-zakken en GFT-zakken</w:t>
      </w:r>
      <w:r w:rsidR="003600DF">
        <w:rPr>
          <w:rFonts w:ascii="Verdana" w:eastAsia="Times New Roman" w:hAnsi="Verdana" w:cs="Times New Roman"/>
          <w:color w:val="000000"/>
          <w:sz w:val="17"/>
          <w:szCs w:val="17"/>
          <w:lang w:eastAsia="nl-BE"/>
        </w:rPr>
        <w:t>, a</w:t>
      </w:r>
      <w:r w:rsidRPr="003600DF">
        <w:rPr>
          <w:rFonts w:ascii="Verdana" w:eastAsia="Times New Roman" w:hAnsi="Verdana" w:cs="Times New Roman"/>
          <w:color w:val="000000"/>
          <w:sz w:val="17"/>
          <w:szCs w:val="17"/>
          <w:lang w:eastAsia="nl-BE"/>
        </w:rPr>
        <w:t>anpassin</w:t>
      </w:r>
      <w:r w:rsidR="003600DF">
        <w:rPr>
          <w:rFonts w:ascii="Verdana" w:eastAsia="Times New Roman" w:hAnsi="Verdana" w:cs="Times New Roman"/>
          <w:color w:val="000000"/>
          <w:sz w:val="17"/>
          <w:szCs w:val="17"/>
          <w:lang w:eastAsia="nl-BE"/>
        </w:rPr>
        <w:t>g wordt opgeheven.</w:t>
      </w:r>
    </w:p>
    <w:p w14:paraId="3FC25E35" w14:textId="77777777"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u w:val="single"/>
          <w:lang w:eastAsia="nl-BE"/>
        </w:rPr>
        <w:t>Artikel 7</w:t>
      </w:r>
      <w:r w:rsidRPr="000C545E">
        <w:rPr>
          <w:rFonts w:ascii="Verdana" w:eastAsia="Times New Roman" w:hAnsi="Verdana" w:cs="Times New Roman"/>
          <w:color w:val="000000"/>
          <w:sz w:val="17"/>
          <w:szCs w:val="17"/>
          <w:lang w:eastAsia="nl-BE"/>
        </w:rPr>
        <w:t>: Een afschrift van dit retributiereglement wordt toegezonden aan Intradura.</w:t>
      </w:r>
    </w:p>
    <w:p w14:paraId="1EA4E3E8" w14:textId="77777777" w:rsidR="000C545E" w:rsidRPr="000C545E" w:rsidRDefault="000C545E" w:rsidP="000C545E">
      <w:pPr>
        <w:spacing w:before="100" w:beforeAutospacing="1" w:after="100" w:afterAutospacing="1" w:line="240" w:lineRule="auto"/>
        <w:rPr>
          <w:rFonts w:ascii="Verdana" w:eastAsia="Times New Roman" w:hAnsi="Verdana" w:cs="Times New Roman"/>
          <w:color w:val="000000"/>
          <w:sz w:val="17"/>
          <w:szCs w:val="17"/>
          <w:lang w:eastAsia="nl-BE"/>
        </w:rPr>
      </w:pPr>
      <w:r w:rsidRPr="000C545E">
        <w:rPr>
          <w:rFonts w:ascii="Verdana" w:eastAsia="Times New Roman" w:hAnsi="Verdana" w:cs="Times New Roman"/>
          <w:color w:val="000000"/>
          <w:sz w:val="17"/>
          <w:szCs w:val="17"/>
          <w:lang w:eastAsia="nl-BE"/>
        </w:rPr>
        <w:t> </w:t>
      </w:r>
    </w:p>
    <w:p w14:paraId="047D928F" w14:textId="77777777" w:rsidR="00A00FEB" w:rsidRDefault="00103C22"/>
    <w:sectPr w:rsidR="00A00F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B6F65"/>
    <w:multiLevelType w:val="multilevel"/>
    <w:tmpl w:val="6B5ACB4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0C4C6BAE"/>
    <w:multiLevelType w:val="multilevel"/>
    <w:tmpl w:val="5BB0D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914C52"/>
    <w:multiLevelType w:val="hybridMultilevel"/>
    <w:tmpl w:val="402681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E0F7F8E"/>
    <w:multiLevelType w:val="multilevel"/>
    <w:tmpl w:val="9B208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052312"/>
    <w:multiLevelType w:val="hybridMultilevel"/>
    <w:tmpl w:val="22F8D35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5E"/>
    <w:rsid w:val="0001431C"/>
    <w:rsid w:val="00095752"/>
    <w:rsid w:val="000C545E"/>
    <w:rsid w:val="000D4BCA"/>
    <w:rsid w:val="00103C22"/>
    <w:rsid w:val="003600DF"/>
    <w:rsid w:val="004B2985"/>
    <w:rsid w:val="0081319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F0AB9"/>
  <w15:chartTrackingRefBased/>
  <w15:docId w15:val="{5B8E90FD-D6EC-452D-8BF8-B827D88D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0C545E"/>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0C545E"/>
    <w:rPr>
      <w:b/>
      <w:bCs/>
    </w:rPr>
  </w:style>
  <w:style w:type="paragraph" w:styleId="Lijstalinea">
    <w:name w:val="List Paragraph"/>
    <w:basedOn w:val="Standaard"/>
    <w:uiPriority w:val="34"/>
    <w:qFormat/>
    <w:rsid w:val="000C54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46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514</Words>
  <Characters>2828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3</cp:revision>
  <dcterms:created xsi:type="dcterms:W3CDTF">2021-12-08T16:25:00Z</dcterms:created>
  <dcterms:modified xsi:type="dcterms:W3CDTF">2021-12-09T12:54:00Z</dcterms:modified>
</cp:coreProperties>
</file>